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90325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C45196" w:rsidRDefault="00382B44" w:rsidP="00C45196">
      <w:pPr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5196" w:rsidRPr="00C4519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Шприци, системи   (код за  ДК 021:2015 «33140000-3 Медичні матеріали»(НК 024:2019 47017 Шприц загального призначення; НК 024:2019 47017 Шприц загального призначення; НК 024:2019 47017 Шприц загального призначення; НК 024:2019 47017 Шприц загального призначення; НК 024:2019 43324 -  Система для переливання рідин загального призначення; НК 024:2019 43324 -  Система для переливання рідин загального призначення; НК 024:2019 47017 Шприц загального призначення; НК 024:2019 38501 Шприц інсуліновий з голкою, стандартний)</w:t>
      </w:r>
      <w:r w:rsidR="00C4519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90325E" w:rsidRPr="00C45196" w:rsidRDefault="00382B44" w:rsidP="00C45196">
      <w:pPr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C45196" w:rsidRPr="00C4519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UA-2022-11-28-010682-a</w:t>
      </w:r>
      <w:r w:rsidR="00C45196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E74531" w:rsidRDefault="00382B44" w:rsidP="00E74531">
      <w:pPr>
        <w:spacing w:after="0" w:line="259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4. Обґрунтування технічних та якісних характеристик предмета закупівлі: </w:t>
      </w:r>
    </w:p>
    <w:tbl>
      <w:tblPr>
        <w:tblW w:w="9967" w:type="dxa"/>
        <w:tblInd w:w="-3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5"/>
        <w:gridCol w:w="1365"/>
        <w:gridCol w:w="1365"/>
        <w:gridCol w:w="855"/>
        <w:gridCol w:w="1257"/>
        <w:gridCol w:w="4480"/>
      </w:tblGrid>
      <w:tr w:rsidR="00C45196" w:rsidRPr="00C45196" w:rsidTr="00F82E7A">
        <w:tc>
          <w:tcPr>
            <w:tcW w:w="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hi-IN" w:bidi="hi-IN"/>
              </w:rPr>
              <w:t>№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val="uk-UA" w:eastAsia="hi-IN" w:bidi="hi-IN"/>
              </w:rPr>
              <w:t>з/п</w:t>
            </w:r>
          </w:p>
        </w:tc>
        <w:tc>
          <w:tcPr>
            <w:tcW w:w="13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b/>
                <w:color w:val="000000"/>
                <w:kern w:val="1"/>
                <w:lang w:val="uk-UA" w:eastAsia="hi-IN" w:bidi="hi-IN"/>
              </w:rPr>
              <w:t>Код НК</w:t>
            </w:r>
          </w:p>
        </w:tc>
        <w:tc>
          <w:tcPr>
            <w:tcW w:w="13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b/>
                <w:color w:val="000000"/>
                <w:kern w:val="1"/>
                <w:lang w:val="uk-UA" w:eastAsia="hi-IN" w:bidi="hi-IN"/>
              </w:rPr>
              <w:t>Найменування товару</w:t>
            </w:r>
          </w:p>
        </w:tc>
        <w:tc>
          <w:tcPr>
            <w:tcW w:w="8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b/>
                <w:bCs/>
                <w:kern w:val="1"/>
                <w:lang w:val="uk-UA" w:eastAsia="hi-IN" w:bidi="hi-IN"/>
              </w:rPr>
              <w:t>Оди-</w:t>
            </w:r>
            <w:proofErr w:type="spellStart"/>
            <w:r w:rsidRPr="00C45196">
              <w:rPr>
                <w:rFonts w:ascii="Times New Roman" w:eastAsia="SimSun" w:hAnsi="Times New Roman" w:cs="Times New Roman"/>
                <w:b/>
                <w:bCs/>
                <w:kern w:val="1"/>
                <w:lang w:val="uk-UA" w:eastAsia="hi-IN" w:bidi="hi-IN"/>
              </w:rPr>
              <w:t>ниця</w:t>
            </w:r>
            <w:proofErr w:type="spellEnd"/>
            <w:r w:rsidRPr="00C45196">
              <w:rPr>
                <w:rFonts w:ascii="Times New Roman" w:eastAsia="SimSun" w:hAnsi="Times New Roman" w:cs="Times New Roman"/>
                <w:b/>
                <w:bCs/>
                <w:kern w:val="1"/>
                <w:lang w:val="uk-UA" w:eastAsia="hi-IN" w:bidi="hi-IN"/>
              </w:rPr>
              <w:t xml:space="preserve"> виміру</w:t>
            </w:r>
          </w:p>
        </w:tc>
        <w:tc>
          <w:tcPr>
            <w:tcW w:w="12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b/>
                <w:bCs/>
                <w:kern w:val="1"/>
                <w:lang w:val="uk-UA" w:eastAsia="hi-IN" w:bidi="hi-IN"/>
              </w:rPr>
              <w:t>Кількість</w:t>
            </w:r>
          </w:p>
        </w:tc>
        <w:tc>
          <w:tcPr>
            <w:tcW w:w="4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b/>
                <w:color w:val="222222"/>
                <w:kern w:val="1"/>
                <w:sz w:val="24"/>
                <w:szCs w:val="24"/>
                <w:lang w:val="uk-UA" w:eastAsia="hi-IN" w:bidi="hi-IN"/>
              </w:rPr>
              <w:t>Медико-технічні характеристики</w:t>
            </w:r>
          </w:p>
        </w:tc>
      </w:tr>
      <w:tr w:rsidR="00C45196" w:rsidRPr="00C45196" w:rsidTr="00F82E7A">
        <w:tc>
          <w:tcPr>
            <w:tcW w:w="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1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47017 Шприц загального призначення разового використання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Шприц ін’єкційний 2 ml, двокомпонентний, з голкою 0,6 mm х 25 mm (23 G х 1") (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)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jc w:val="center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proofErr w:type="spellStart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шт</w:t>
            </w:r>
            <w:proofErr w:type="spellEnd"/>
          </w:p>
        </w:tc>
        <w:tc>
          <w:tcPr>
            <w:tcW w:w="12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napToGrid w:val="0"/>
              <w:spacing w:after="0" w:line="227" w:lineRule="exact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50000</w:t>
            </w:r>
          </w:p>
        </w:tc>
        <w:tc>
          <w:tcPr>
            <w:tcW w:w="4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 призначений для підшкірного,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внутрішньом’язового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 та внутрішньовенного введення лікарських засобів.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 призначений для застосування відразу після заповнення.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Шприци в комплекті з голкою розміром </w:t>
            </w: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0,6 mm х 25 mm (23 G х 1") (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)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Голка має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атравматичну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 заточку вістря та покриті мастилом. Приєднувальний конус голки –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” </w:t>
            </w:r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 xml:space="preserve"> з елементом замикаючого з’єднання «</w:t>
            </w: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Луєр-Лок</w:t>
            </w:r>
            <w:proofErr w:type="spellEnd"/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».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Номінальна місткість шприца  2 мл,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Шприц виготовляється з приєднувальним конусом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”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Залишковий об’єм рідини, яка знаходиться у циліндрі при введеному до упору поршні не перевищує: - 0,07 мл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Шприци одноразового застосування, стерильні,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апірогенні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, нетоксичні.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Споживча тара забезпечує збереження стерильності шприца протягом терміну придатності.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Споживча тара шприца містить інформацію українською мовою.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Термін придатності шприців – не менше 5 років </w:t>
            </w: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lastRenderedPageBreak/>
              <w:t>від дати виготовлення.</w:t>
            </w:r>
          </w:p>
        </w:tc>
      </w:tr>
      <w:tr w:rsidR="00C45196" w:rsidRPr="00C45196" w:rsidTr="00F82E7A">
        <w:tc>
          <w:tcPr>
            <w:tcW w:w="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bCs/>
                <w:kern w:val="1"/>
                <w:sz w:val="21"/>
                <w:szCs w:val="21"/>
                <w:lang w:val="uk-UA" w:eastAsia="hi-IN" w:bidi="hi-IN"/>
              </w:rPr>
              <w:lastRenderedPageBreak/>
              <w:t>2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Arial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47017 Шприц загального призначення разового використання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Arial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Arial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Шприц ін’єкційний 5 ml, двокомпонентний,  голкою 0,7 mm х 38 mm (22 G х 1 1/2")  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Arial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jc w:val="center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proofErr w:type="spellStart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шт</w:t>
            </w:r>
            <w:proofErr w:type="spellEnd"/>
          </w:p>
        </w:tc>
        <w:tc>
          <w:tcPr>
            <w:tcW w:w="12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napToGrid w:val="0"/>
              <w:spacing w:after="0" w:line="227" w:lineRule="exact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70000</w:t>
            </w:r>
          </w:p>
        </w:tc>
        <w:tc>
          <w:tcPr>
            <w:tcW w:w="4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 призначений для підшкірного,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внутрішньом’язового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 та внутрішньовенного введення лікарських засобів.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 призначений для застосування відразу після заповнення.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Шприци в комплекті  з голкою  розміром 0,7 mm х 38 mm (22 G х 1 1/2").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Голка має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атравматичну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 заточку вістря та покриті мастилом. Приєднувальний конус голок –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”  Приєднувальний конус голок –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” </w:t>
            </w:r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 xml:space="preserve"> з елементом замикаючого з’єднання «</w:t>
            </w: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Луєр-Лок</w:t>
            </w:r>
            <w:proofErr w:type="spellEnd"/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».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Номінальна місткість шприца  5 мл,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Шприц виготовляється з приєднувальним конусом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”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Залишковий об’єм рідини, яка знаходиться у циліндрі при введеному до упору поршні не перевищує  0,075 мл.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Шприци одноразового застосування, стерильні,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апірогенні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, нетоксичні.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Споживча тара забезпечує збереження стерильності шприца протягом терміну придатності.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Споживча тара шприца містить інформацію українською мовою.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Термін придатності шприців – не менше 5 років від дати виготовлення.</w:t>
            </w:r>
          </w:p>
        </w:tc>
      </w:tr>
      <w:tr w:rsidR="00C45196" w:rsidRPr="00C45196" w:rsidTr="00F82E7A">
        <w:tc>
          <w:tcPr>
            <w:tcW w:w="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bCs/>
                <w:kern w:val="1"/>
                <w:sz w:val="21"/>
                <w:szCs w:val="21"/>
                <w:lang w:val="uk-UA" w:eastAsia="hi-IN" w:bidi="hi-IN"/>
              </w:rPr>
              <w:t>3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47017 Шприц загального призначення разового використання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Шприц ін’єкційний 10 ml, двокомпонентний, з голкою 0,8 mm х 38 mm (21 G х 1 1/2") (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)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jc w:val="center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proofErr w:type="spellStart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шт</w:t>
            </w:r>
            <w:proofErr w:type="spellEnd"/>
          </w:p>
        </w:tc>
        <w:tc>
          <w:tcPr>
            <w:tcW w:w="12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napToGrid w:val="0"/>
              <w:spacing w:after="0" w:line="227" w:lineRule="exact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70000</w:t>
            </w:r>
          </w:p>
        </w:tc>
        <w:tc>
          <w:tcPr>
            <w:tcW w:w="4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 призначений для підшкірного,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внутрішньом’язового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 та внутрішньовенного введення лікарських засобів.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 призначений для застосування відразу після заповнення.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Шприци в комплекті  з голкою розміром  0,8 mm х 38 mm (21 G х 1 1/2") (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)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Голка має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атравматичну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 заточку вістря та покриті мастилом.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Приєднувальний конус голки –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”  Приєднувальний конус голок –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” </w:t>
            </w:r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 xml:space="preserve"> з елементом замикаючого з’єднання «</w:t>
            </w: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Луєр-Лок</w:t>
            </w:r>
            <w:proofErr w:type="spellEnd"/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».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Номінальна місткість шприца:  10 мл,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Шприц виготовляється з приєднувальним конусом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”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Залишковий об’єм рідини, яка знаходиться у циліндрі при введеному до упору поршні не перевищує: </w:t>
            </w: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 xml:space="preserve">- 0,10 мл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 xml:space="preserve">Шприци одноразового застосування, стерильні,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апірогенні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, нетоксичні.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Споживча тара забезпечує збереження стерильності шприца протягом терміну придатності.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 xml:space="preserve">Споживча тара шприца містить інформацію </w:t>
            </w: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українською мовою.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Термін придатності шприців – не менше 5 років від дати виготовлення.</w:t>
            </w:r>
          </w:p>
        </w:tc>
      </w:tr>
      <w:tr w:rsidR="00C45196" w:rsidRPr="00C45196" w:rsidTr="00F82E7A">
        <w:tc>
          <w:tcPr>
            <w:tcW w:w="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center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bCs/>
                <w:kern w:val="1"/>
                <w:sz w:val="21"/>
                <w:szCs w:val="21"/>
                <w:lang w:val="uk-UA" w:eastAsia="hi-IN" w:bidi="hi-IN"/>
              </w:rPr>
              <w:t>4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47017 Шприц загального призначення разового використання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Arial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Шприц ін’єкційний 20 ml, двокомпонентний, з  голкою 0,8 mm х 38 mm (21 G х 1 </w:t>
            </w: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lastRenderedPageBreak/>
              <w:t>1/2") (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)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Arial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center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proofErr w:type="spellStart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lastRenderedPageBreak/>
              <w:t>шт</w:t>
            </w:r>
            <w:proofErr w:type="spellEnd"/>
          </w:p>
        </w:tc>
        <w:tc>
          <w:tcPr>
            <w:tcW w:w="12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napToGrid w:val="0"/>
              <w:spacing w:after="0" w:line="227" w:lineRule="exact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50000</w:t>
            </w:r>
          </w:p>
        </w:tc>
        <w:tc>
          <w:tcPr>
            <w:tcW w:w="4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 призначений для підшкірного,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внутрішньом’язового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 та внутрішньовенного введення лікарських засобів.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 призначений для застосування відразу після заповнення. 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Шприци в комплекті  з голкою розміром   0,8 mm х 38 mm (21 G х 1 1/2") (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). 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Голка має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атравматичну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 заточку вістря та </w:t>
            </w: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lastRenderedPageBreak/>
              <w:t>покриті мастилом.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Приєднувальний конус голок –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”  Приєднувальний конус голок –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”  з елементом замикаючого з’єднання «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Луєр-Лок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».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Номінальна місткість шприца:  20 мл, 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Шприц виготовляється з приєднувальним конусом „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” 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Залишковий об’єм рідини, яка знаходиться у циліндрі при введеному до упору поршні не перевищує: - 0,15 мл 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Шприци одноразового застосування, стерильні,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апірогенні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, нетоксичні.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Споживча тара забезпечує збереження стерильності шприца протягом терміну придатності.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Споживча тара шприца містить інформацію українською мовою.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>Термін придатності шприців – не менше 5 років від дати виготовлення.</w:t>
            </w:r>
          </w:p>
        </w:tc>
      </w:tr>
      <w:tr w:rsidR="00C45196" w:rsidRPr="00C45196" w:rsidTr="00F82E7A">
        <w:tc>
          <w:tcPr>
            <w:tcW w:w="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LineNumbers/>
              <w:suppressAutoHyphens/>
              <w:snapToGrid w:val="0"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lastRenderedPageBreak/>
              <w:t>5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SimSun" w:hAnsi="Times New Roman" w:cs="Times New Roman"/>
                <w:bCs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43324 Система для переливання рідин загального призначення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SimSun" w:hAnsi="Times New Roman" w:cs="Times New Roman"/>
                <w:bCs/>
                <w:kern w:val="1"/>
                <w:sz w:val="21"/>
                <w:szCs w:val="21"/>
                <w:lang w:val="uk-UA" w:eastAsia="hi-IN" w:bidi="hi-IN"/>
              </w:rPr>
            </w:pPr>
          </w:p>
        </w:tc>
        <w:tc>
          <w:tcPr>
            <w:tcW w:w="13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Система для переливання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інфузійних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розчинів   ПР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LineNumbers/>
              <w:suppressAutoHyphens/>
              <w:snapToGrid w:val="0"/>
              <w:spacing w:after="0" w:line="227" w:lineRule="exact"/>
              <w:jc w:val="center"/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шт</w:t>
            </w:r>
            <w:proofErr w:type="spellEnd"/>
          </w:p>
        </w:tc>
        <w:tc>
          <w:tcPr>
            <w:tcW w:w="12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LineNumbers/>
              <w:suppressAutoHyphens/>
              <w:snapToGrid w:val="0"/>
              <w:spacing w:after="0" w:line="227" w:lineRule="exact"/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40000</w:t>
            </w:r>
          </w:p>
        </w:tc>
        <w:tc>
          <w:tcPr>
            <w:tcW w:w="44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Для внутрішньовенного вливання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інфузійних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розчинів та кровозамінників.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Трубки, виготовлені з полівінілхлориду.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Довжина трубки не менше 1500 мм, діаметр не менше 3,5мм.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Повітровід, що підключається до ємності, складається з металевої голки та повітряного фільтру, виготовлені з металу та поліпропілену.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Швидкість потоку ≥ 1000мл/10хв.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Крапельна камера напівжорстка з фільтром забезпечує візуально контрольоване заповнення.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Фільтр для запобігання проникнення небажаних часток ≥ 80%.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Тип з’єднання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Luer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slip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(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Луер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сліп).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Ін’єкційна металева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атравматична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голка з тригранним загостренням має силіконове покриття для полегшення введення, розмір не менше 0,8 х 38мм.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Металева голка, яка підключається до ємності.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Роликовий регулятор швидкості потоку.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Еластичний перехідник між трубкою та ін’єкційною голкою для додаткового введення лікарських засобів.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Термін придатності не менше 3 років з дати виготовлення, вказаної на упаковці.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Для одноразового використання.</w:t>
            </w:r>
          </w:p>
          <w:p w:rsidR="00C45196" w:rsidRPr="00C45196" w:rsidRDefault="00C45196" w:rsidP="00C45196">
            <w:pPr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Стерильна,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апірогенна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та нетоксична.</w:t>
            </w:r>
          </w:p>
          <w:p w:rsidR="00C45196" w:rsidRPr="00C45196" w:rsidRDefault="00C45196" w:rsidP="00C45196">
            <w:pPr>
              <w:suppressAutoHyphens/>
              <w:snapToGrid w:val="0"/>
              <w:spacing w:after="0" w:line="227" w:lineRule="exact"/>
              <w:rPr>
                <w:rFonts w:ascii="Times New Roman" w:eastAsia="SimSun" w:hAnsi="Times New Roman" w:cs="Mangal"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Індивідуальна упаковка.</w:t>
            </w:r>
          </w:p>
        </w:tc>
      </w:tr>
      <w:tr w:rsidR="00C45196" w:rsidRPr="00C45196" w:rsidTr="00F82E7A">
        <w:tc>
          <w:tcPr>
            <w:tcW w:w="64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LineNumbers/>
              <w:suppressAutoHyphens/>
              <w:snapToGrid w:val="0"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6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43324 Система для переливання рідин загального призначення</w:t>
            </w:r>
          </w:p>
        </w:tc>
        <w:tc>
          <w:tcPr>
            <w:tcW w:w="136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Одноразова система для вливання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інфузійних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розчинів, з регулятором потоку 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LineNumbers/>
              <w:suppressAutoHyphens/>
              <w:snapToGrid w:val="0"/>
              <w:spacing w:after="0" w:line="227" w:lineRule="exact"/>
              <w:jc w:val="center"/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шт</w:t>
            </w:r>
            <w:proofErr w:type="spellEnd"/>
          </w:p>
        </w:tc>
        <w:tc>
          <w:tcPr>
            <w:tcW w:w="125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LineNumbers/>
              <w:suppressAutoHyphens/>
              <w:snapToGrid w:val="0"/>
              <w:spacing w:after="0" w:line="227" w:lineRule="exact"/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200</w:t>
            </w:r>
          </w:p>
        </w:tc>
        <w:tc>
          <w:tcPr>
            <w:tcW w:w="448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Система для внутрішньовенного вливання </w:t>
            </w: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інфузійних</w:t>
            </w:r>
            <w:proofErr w:type="spellEnd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 розчинів з регульованою швидкістю потоку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Довжина трубки – не менше 1450 мм, крапельна камера з фільтром 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Трубка системи виготовлена з полівінілхлориду.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Повинна мати тип з’єднання </w:t>
            </w: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Luer</w:t>
            </w:r>
            <w:proofErr w:type="spellEnd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 </w:t>
            </w: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Slip</w:t>
            </w:r>
            <w:proofErr w:type="spellEnd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 (</w:t>
            </w: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Луєр</w:t>
            </w:r>
            <w:proofErr w:type="spellEnd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 </w:t>
            </w: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cліп</w:t>
            </w:r>
            <w:proofErr w:type="spellEnd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), роликовий регулятор швидкості потоку.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Повинна мати регулятор швидкості потоку барабанного типу.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Повинна мати дві шкали  регулювання швидкості потоку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- від 0 до 250 мл/ год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- та від 0 до 200 мл/год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lastRenderedPageBreak/>
              <w:t xml:space="preserve">Повинна мати металеву розміром не менше  голку, не менше 0,8*38мм. 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Повинна мати повітровід, що складається з металевої голки та повітряного фільтру виготовлено з металу та </w:t>
            </w: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поліпропілену,еластичний</w:t>
            </w:r>
            <w:proofErr w:type="spellEnd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 перехідник між трубкою та ін’єкційною голкою.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Стерильна, </w:t>
            </w:r>
            <w:proofErr w:type="spellStart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>апірогенна</w:t>
            </w:r>
            <w:proofErr w:type="spellEnd"/>
            <w:r w:rsidRPr="00C45196">
              <w:rPr>
                <w:rFonts w:ascii="Times New Roman" w:eastAsia="SimSun" w:hAnsi="Times New Roman" w:cs="Times New Roman"/>
                <w:kern w:val="1"/>
                <w:lang w:val="uk-UA" w:eastAsia="hi-IN" w:bidi="hi-IN"/>
              </w:rPr>
              <w:t xml:space="preserve"> та нетоксична в індивідуальному пакуванні.</w:t>
            </w:r>
          </w:p>
          <w:p w:rsidR="00C45196" w:rsidRPr="00C45196" w:rsidRDefault="00C45196" w:rsidP="00C45196">
            <w:pPr>
              <w:widowControl w:val="0"/>
              <w:suppressAutoHyphens/>
              <w:snapToGrid w:val="0"/>
              <w:spacing w:after="0" w:line="227" w:lineRule="exact"/>
              <w:rPr>
                <w:rFonts w:ascii="Times New Roman" w:eastAsia="SimSun" w:hAnsi="Times New Roman" w:cs="Mangal"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lang w:val="uk-UA" w:eastAsia="hi-IN" w:bidi="hi-IN"/>
              </w:rPr>
              <w:t>Для одноразового використання.</w:t>
            </w:r>
          </w:p>
        </w:tc>
      </w:tr>
      <w:tr w:rsidR="00C45196" w:rsidRPr="00C45196" w:rsidTr="00F82E7A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LineNumbers/>
              <w:suppressAutoHyphens/>
              <w:snapToGrid w:val="0"/>
              <w:spacing w:after="0" w:line="227" w:lineRule="exact"/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lastRenderedPageBreak/>
              <w:t>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pacing w:after="0" w:line="227" w:lineRule="exact"/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 xml:space="preserve">47017 Шприц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>загального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 xml:space="preserve">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>призначення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 xml:space="preserve"> разового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>використання</w:t>
            </w:r>
            <w:proofErr w:type="spell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Шприц </w:t>
            </w:r>
            <w:r w:rsidRPr="00C45196">
              <w:rPr>
                <w:rFonts w:ascii="Times New Roman" w:eastAsia="SimSun" w:hAnsi="Times New Roman" w:cs="Mangal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</w:t>
            </w: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ін’єкційний </w:t>
            </w: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3-компонентний 20 мл </w:t>
            </w:r>
          </w:p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з голкою 0,8 х 38 мм (21Gх1 1/2'')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center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proofErr w:type="spellStart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шт</w:t>
            </w:r>
            <w:proofErr w:type="spell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napToGrid w:val="0"/>
              <w:spacing w:after="0" w:line="227" w:lineRule="exact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15000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Шприц призначений для проведення внутрішньовенних та/або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внутрішном`язових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ін’єкцій.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Трьохкомпонентний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. Об'єм 20,0 мл. Прозорий циліндр, </w:t>
            </w:r>
            <w:bookmarkStart w:id="0" w:name="_Hlk717241211"/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канюля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голки з ковпачком</w:t>
            </w:r>
            <w:bookmarkEnd w:id="0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, виготовлені з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гомополімера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поліпропілену. Поршень зі штоком виготовлені з синтетичного матеріалу, що не викликає алергічних реакцій. Чітка, стійка до стирання шкала. Стопорне кільце </w:t>
            </w:r>
            <w:bookmarkStart w:id="1" w:name="_Hlk717136581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(блоківник поршня).</w:t>
            </w:r>
            <w:bookmarkEnd w:id="1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Гумовий ущільнювач з синтетичного матеріалу, що не викликає алергічних реакцій.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З`ємна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атравматична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голка з тригранним загостренням та ковпачком.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З`ємна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атравматична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голка з тригранним загостренням та ковпачком. Голка з аустенітної неіржавіючої сталі. Розмір голки за калібром 21 G, 1 1/2” та метричний розмір голки 0,8 х 38мм.Тип з'єднання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Луер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сліп або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Луер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лок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. Шприц не містить латекс. Поверхня шприца чиста та не повинна містити сторонніх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часток.Мертвий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простір не більше 0,15 мл. Змазка не помітна, кількість не перевищує 0,25 мг/см². Стерильний, нетоксичний та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апірогенний.Для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одноразового використання. Індивідуальне пакування герметичне та цілісне.</w:t>
            </w:r>
          </w:p>
        </w:tc>
      </w:tr>
      <w:tr w:rsidR="00C45196" w:rsidRPr="00C45196" w:rsidTr="00F82E7A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LineNumbers/>
              <w:suppressAutoHyphens/>
              <w:snapToGrid w:val="0"/>
              <w:spacing w:after="0" w:line="227" w:lineRule="exact"/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kern w:val="1"/>
                <w:sz w:val="21"/>
                <w:szCs w:val="21"/>
                <w:lang w:val="uk-UA" w:eastAsia="hi-IN" w:bidi="hi-IN"/>
              </w:rPr>
              <w:t>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 xml:space="preserve">38501 Шприц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>інсуліновий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 xml:space="preserve"> з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>голкою</w:t>
            </w:r>
            <w:proofErr w:type="spellEnd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 xml:space="preserve">, </w:t>
            </w:r>
            <w:proofErr w:type="spellStart"/>
            <w:r w:rsidRPr="00C45196">
              <w:rPr>
                <w:rFonts w:ascii="Times New Roman" w:eastAsia="SimSun" w:hAnsi="Times New Roman" w:cs="Times New Roman"/>
                <w:color w:val="000000"/>
                <w:kern w:val="1"/>
                <w:sz w:val="21"/>
                <w:szCs w:val="21"/>
                <w:lang w:eastAsia="hi-IN" w:bidi="hi-IN"/>
              </w:rPr>
              <w:t>стандартний</w:t>
            </w:r>
            <w:proofErr w:type="spell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Шприц ін`єкційний (U-100) 1,0</w:t>
            </w:r>
            <w:r w:rsidRPr="00C451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</w:t>
            </w: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мл з голкою 0,33х13мм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27" w:lineRule="exact"/>
              <w:jc w:val="center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proofErr w:type="spellStart"/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шт</w:t>
            </w:r>
            <w:proofErr w:type="spellEnd"/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napToGrid w:val="0"/>
              <w:spacing w:after="0" w:line="227" w:lineRule="exact"/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kern w:val="1"/>
                <w:sz w:val="21"/>
                <w:szCs w:val="21"/>
                <w:lang w:val="uk-UA" w:eastAsia="hi-IN" w:bidi="hi-IN"/>
              </w:rPr>
              <w:t>8000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5196" w:rsidRPr="00C45196" w:rsidRDefault="00C45196" w:rsidP="00C45196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4"/>
                <w:szCs w:val="24"/>
                <w:lang w:val="uk-UA" w:eastAsia="hi-IN" w:bidi="hi-IN"/>
              </w:rPr>
            </w:pP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Шприц призначений для введення інсуліну</w:t>
            </w:r>
            <w:r w:rsidRPr="00C45196">
              <w:rPr>
                <w:rFonts w:ascii="Times New Roman" w:eastAsia="Times New Roman" w:hAnsi="Times New Roman" w:cs="Times New Roman"/>
                <w:color w:val="222222"/>
                <w:kern w:val="1"/>
                <w:sz w:val="21"/>
                <w:szCs w:val="21"/>
                <w:lang w:val="uk-UA" w:eastAsia="hi-IN" w:bidi="hi-IN"/>
              </w:rPr>
              <w:t xml:space="preserve"> </w:t>
            </w:r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в ендокринології  та в інших сферах медицини, де необхідне точне та дозоване введення препаратів малих об’ємів. Трикомпонентний. Шкала U-100.  Повинен мати інтегровану голку (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нез'ємну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) з захисним ковпачком. Об'єм 1,0 мл. Прозорий циліндр, виготовлений з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гомополімера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поліпропілену. Поршень зі штоком, виготовлені з синтетичного матеріалу, що не викликає алергічних реакцій. Чітка, стійка до стирання шкалу. Стопорне кільце (блоківник поршня). Має спеціальну конфігурацію ущільнювача поршня для мінімізації залишкового об’єму лікарського засобу. Голка з аустенітної нержавіючої сталі. Інтегрована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атравматична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 голка (не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з’ємна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 xml:space="preserve">) з ковпачком та тригранним загостренням. Розмір голки за калібром 29 G, 1/2” та метричний розмір голки 0,33 х 13мм. Мертвий простір не більше 0,01 мл. Стерильний, нетоксичний та </w:t>
            </w:r>
            <w:proofErr w:type="spellStart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апірогенний</w:t>
            </w:r>
            <w:proofErr w:type="spellEnd"/>
            <w:r w:rsidRPr="00C45196">
              <w:rPr>
                <w:rFonts w:ascii="Times New Roman" w:eastAsia="Times New Roman" w:hAnsi="Times New Roman" w:cs="Times New Roman"/>
                <w:color w:val="000000"/>
                <w:kern w:val="1"/>
                <w:sz w:val="21"/>
                <w:szCs w:val="21"/>
                <w:lang w:val="uk-UA" w:eastAsia="hi-IN" w:bidi="hi-IN"/>
              </w:rPr>
              <w:t>. Для одноразового використання. Індивідуальне пакування.</w:t>
            </w:r>
          </w:p>
        </w:tc>
      </w:tr>
    </w:tbl>
    <w:p w:rsidR="00C45196" w:rsidRPr="00C45196" w:rsidRDefault="00C45196" w:rsidP="00C45196">
      <w:pPr>
        <w:tabs>
          <w:tab w:val="left" w:pos="18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</w:pP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 xml:space="preserve">    1. Товар  повинен бути належним чином зареєстрований в Україні та відповідати вимогам Технічного регламенту до даного виду виробів медичного призначення  (надати </w:t>
      </w: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lastRenderedPageBreak/>
        <w:t>копії документів, які підтверджують відповідність товару зазначеним вимогам (декларації про відповідність тощо).</w:t>
      </w:r>
    </w:p>
    <w:p w:rsidR="00C45196" w:rsidRPr="00C45196" w:rsidRDefault="00C45196" w:rsidP="00C45196">
      <w:pPr>
        <w:widowControl w:val="0"/>
        <w:tabs>
          <w:tab w:val="left" w:pos="18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</w:pP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>2. Сертифікати якості, гігієнічні висновки надаються на кожну поставку.</w:t>
      </w:r>
    </w:p>
    <w:p w:rsidR="00C45196" w:rsidRPr="00C45196" w:rsidRDefault="00C45196" w:rsidP="00C45196">
      <w:pPr>
        <w:widowControl w:val="0"/>
        <w:tabs>
          <w:tab w:val="left" w:pos="180"/>
        </w:tabs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</w:pP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ab/>
      </w: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ab/>
        <w:t xml:space="preserve">3. Всі посилання на торгівельну марку, виробника, джерело походження предмета закупівлі слід читати "або еквівалент". При подачі еквіваленту ні форма випуску, ні кількість предмету закупівлі не може бути змінена. </w:t>
      </w:r>
    </w:p>
    <w:p w:rsidR="00C45196" w:rsidRPr="00C45196" w:rsidRDefault="00C45196" w:rsidP="00C45196">
      <w:pPr>
        <w:widowControl w:val="0"/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</w:pP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>4. Терміни придатності при отриманні товару повинні бути не менше 75% від загального терміну.</w:t>
      </w:r>
    </w:p>
    <w:p w:rsidR="00C45196" w:rsidRPr="00C45196" w:rsidRDefault="00C45196" w:rsidP="00C45196">
      <w:pPr>
        <w:widowControl w:val="0"/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</w:pP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>5. 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(доставки).</w:t>
      </w:r>
    </w:p>
    <w:p w:rsidR="00C45196" w:rsidRPr="00C45196" w:rsidRDefault="00C45196" w:rsidP="00C45196">
      <w:pPr>
        <w:widowControl w:val="0"/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</w:pP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>6. Надати гарантійний лист про застосування заходів із захисту довкілля, про те, що товар буде поставлено із врахуванням екологічних вимог згідно чинного законодавства.</w:t>
      </w:r>
    </w:p>
    <w:p w:rsidR="00C45196" w:rsidRPr="00C45196" w:rsidRDefault="00C45196" w:rsidP="00C45196">
      <w:pPr>
        <w:widowControl w:val="0"/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</w:pP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>7. Постачальник  відповідає за формування ціни та повинен керуватися вимогами чинного законодавства.</w:t>
      </w:r>
    </w:p>
    <w:p w:rsidR="00C45196" w:rsidRPr="00C45196" w:rsidRDefault="00C45196" w:rsidP="00C45196">
      <w:pPr>
        <w:widowControl w:val="0"/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</w:pP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 xml:space="preserve">8. Спроможність учасника на своєчасне постачання товару у кількості та якості, яких вимагає ця документація та з метою запобігання закупівлі фальсифікатів, надати оригінал гарантійного листа від виробника чи представника товаровиробника в Україні, на ті найменування товару, які вказані в медико-технічних вимогах. </w:t>
      </w:r>
      <w:r w:rsidRPr="00C45196">
        <w:rPr>
          <w:rFonts w:ascii="Times New Roman" w:eastAsia="SimSun" w:hAnsi="Times New Roman" w:cs="Mangal"/>
          <w:color w:val="000000"/>
          <w:kern w:val="1"/>
          <w:sz w:val="24"/>
          <w:szCs w:val="24"/>
          <w:lang w:val="uk-UA" w:eastAsia="hi-IN" w:bidi="hi-IN"/>
        </w:rPr>
        <w:t>Гарантійний лист повинен включати номер оголошення оприлюдненого на веб-порталі Уповноваженого органу, предмет закупівлі та назву замовника.</w:t>
      </w:r>
    </w:p>
    <w:p w:rsidR="00C45196" w:rsidRPr="00C45196" w:rsidRDefault="00C45196" w:rsidP="00C45196">
      <w:pPr>
        <w:widowControl w:val="0"/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</w:pP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>9. Поставка товару, розвантаження та доставка до місця збереження здійснюється за рахунок  Постачальника, згідно замовлень, на склад медикаментів за адресами: м. Полтава, вул. Шевченка, 23 (надати гарантійний лист).</w:t>
      </w:r>
    </w:p>
    <w:p w:rsidR="00C45196" w:rsidRPr="00C45196" w:rsidRDefault="00C45196" w:rsidP="00C45196">
      <w:pPr>
        <w:widowControl w:val="0"/>
        <w:suppressAutoHyphens/>
        <w:autoSpaceDE w:val="0"/>
        <w:spacing w:after="0" w:line="240" w:lineRule="auto"/>
        <w:ind w:firstLine="708"/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</w:pPr>
      <w:r w:rsidRPr="00C45196">
        <w:rPr>
          <w:rFonts w:ascii="Times New Roman" w:eastAsia="SimSun" w:hAnsi="Times New Roman" w:cs="Mangal"/>
          <w:kern w:val="1"/>
          <w:sz w:val="24"/>
          <w:szCs w:val="24"/>
          <w:lang w:val="uk-UA" w:eastAsia="hi-IN" w:bidi="hi-IN"/>
        </w:rPr>
        <w:t>10.  Маркування на виробах медичного призначення має відповідати п. 44 додатку 1 Технічного регламенту щодо медичних виробів, затвердженого постановою КМУ від 2.10.2013 р. №753.</w:t>
      </w:r>
    </w:p>
    <w:p w:rsidR="0061525D" w:rsidRDefault="0061525D" w:rsidP="0061525D">
      <w:pPr>
        <w:spacing w:line="240" w:lineRule="auto"/>
        <w:rPr>
          <w:rFonts w:ascii="Times New Roman" w:hAnsi="Times New Roman"/>
          <w:b/>
          <w:bCs/>
          <w:u w:val="single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E327FF" w:rsidRDefault="00E327FF" w:rsidP="00E327FF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E327FF" w:rsidRPr="00EF7F51" w:rsidRDefault="00E327FF" w:rsidP="00E327FF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предмету закупівлі розрахована виходячи з потреби лікувального заклад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у, на основі статистичних даних про середньомісячне використання шприців та систем </w:t>
      </w:r>
      <w:r w:rsidRPr="00E010A2">
        <w:rPr>
          <w:rFonts w:ascii="Times New Roman" w:hAnsi="Times New Roman" w:cs="Times New Roman"/>
          <w:sz w:val="24"/>
          <w:szCs w:val="24"/>
          <w:lang w:val="uk-UA"/>
        </w:rPr>
        <w:t xml:space="preserve">та з врахуванням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постанови КМУ №244 від 20.03.2020 р. «</w:t>
      </w:r>
      <w:r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Про затвердження переліку товарів (у тому числі лікарських засобів, медичних виробів та/або медичного обладнання), необхідних для виконання заходів, спрямованих на запобігання виникненню і поширенню, локалізацію та ліквідацію спалахів, епідемій та пандемій гострої респіраторної хвороби COVID-19, спричиненої </w:t>
      </w:r>
      <w:proofErr w:type="spellStart"/>
      <w:r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коронавірусом</w:t>
      </w:r>
      <w:proofErr w:type="spellEnd"/>
      <w:r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SARS-CoV-2, операції з ввезення яких на митну територію України та/або операції з постачання яких на митній території України звільняються від оподаткування податком на додану вартість та які звільняються від сплати ввізного мита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» (зі змінами).</w:t>
      </w:r>
      <w:r w:rsidRPr="00477516">
        <w:rPr>
          <w:lang w:val="uk-UA"/>
        </w:rPr>
        <w:t xml:space="preserve"> </w:t>
      </w:r>
    </w:p>
    <w:p w:rsidR="00E327FF" w:rsidRPr="00EF7F51" w:rsidRDefault="00E327FF" w:rsidP="00E327FF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BD6C3B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Таким чином, очікувана вартість (</w:t>
      </w:r>
      <w:bookmarkStart w:id="2" w:name="_Hlk121123648"/>
      <w:r w:rsidRPr="00C4519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1 019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 </w:t>
      </w:r>
      <w:r w:rsidRPr="00C45196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360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,00грн.) </w:t>
      </w:r>
      <w:bookmarkEnd w:id="2"/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необхідного для Замовника обсягу шприців, систем (303 200шт.) розраховувалась на основі </w:t>
      </w:r>
      <w:r w:rsidRPr="00EF7F5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проведено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го</w:t>
      </w:r>
      <w:r w:rsidRPr="00EF7F5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аналіз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у</w:t>
      </w:r>
      <w:r w:rsidRPr="00EF7F5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ринку, що охоплює існуючі види необхідної продукції і можливі альтернативи, а також існуючих і потенційних постачальників. Врахована інформація, що міститься в Інтернет-мережі і відкритому доступі, в системі електронних </w:t>
      </w:r>
      <w:proofErr w:type="spellStart"/>
      <w:r w:rsidRPr="00EF7F5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закупівель</w:t>
      </w:r>
      <w:proofErr w:type="spellEnd"/>
      <w:r w:rsidRPr="00EF7F5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Pr="00EF7F5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ProZorro</w:t>
      </w:r>
      <w:proofErr w:type="spellEnd"/>
      <w:r w:rsidRPr="00EF7F51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, з урахуванням ПДВ.</w:t>
      </w:r>
    </w:p>
    <w:p w:rsidR="00E327FF" w:rsidRDefault="00E327FF" w:rsidP="00E327FF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Очікувана вартість предмета закупівлі – </w:t>
      </w:r>
      <w:r w:rsidRPr="00C45196">
        <w:rPr>
          <w:rFonts w:ascii="Times New Roman" w:hAnsi="Times New Roman" w:cs="Times New Roman"/>
          <w:b/>
          <w:sz w:val="24"/>
          <w:szCs w:val="24"/>
          <w:lang w:val="uk-UA"/>
        </w:rPr>
        <w:t>1 019 360,00грн.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E327FF" w:rsidRDefault="00E327FF" w:rsidP="00E327FF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кошти обласного бюджету.</w:t>
      </w: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3" w:name="_GoBack"/>
      <w:bookmarkEnd w:id="3"/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477516" w:rsidRDefault="00477516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32695" w:rsidRDefault="00D32695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32695" w:rsidRPr="00D32695" w:rsidRDefault="00D32695" w:rsidP="0090325E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</w:p>
    <w:sectPr w:rsidR="00D32695" w:rsidRPr="00D32695" w:rsidSect="00C4519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36FD"/>
    <w:rsid w:val="001569C1"/>
    <w:rsid w:val="001A1EED"/>
    <w:rsid w:val="001E16AB"/>
    <w:rsid w:val="001E705C"/>
    <w:rsid w:val="002413FF"/>
    <w:rsid w:val="00382B44"/>
    <w:rsid w:val="004536FD"/>
    <w:rsid w:val="00477516"/>
    <w:rsid w:val="00514E87"/>
    <w:rsid w:val="00542CD7"/>
    <w:rsid w:val="005D3629"/>
    <w:rsid w:val="0061525D"/>
    <w:rsid w:val="00645212"/>
    <w:rsid w:val="006F0DB0"/>
    <w:rsid w:val="00707009"/>
    <w:rsid w:val="007A0912"/>
    <w:rsid w:val="00842AF8"/>
    <w:rsid w:val="00891A98"/>
    <w:rsid w:val="0090325E"/>
    <w:rsid w:val="00A80AC4"/>
    <w:rsid w:val="00A84FD9"/>
    <w:rsid w:val="00BD27BA"/>
    <w:rsid w:val="00BD6C3B"/>
    <w:rsid w:val="00C45196"/>
    <w:rsid w:val="00CD3DDE"/>
    <w:rsid w:val="00D05C3E"/>
    <w:rsid w:val="00D32695"/>
    <w:rsid w:val="00E010A2"/>
    <w:rsid w:val="00E327FF"/>
    <w:rsid w:val="00E74531"/>
    <w:rsid w:val="00EE6F50"/>
    <w:rsid w:val="00EF7F51"/>
    <w:rsid w:val="00F5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11537-69CC-4014-9830-CB84ED6EA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2024</Words>
  <Characters>11542</Characters>
  <Application>Microsoft Office Word</Application>
  <DocSecurity>0</DocSecurity>
  <Lines>96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24</cp:revision>
  <cp:lastPrinted>2022-12-05T07:26:00Z</cp:lastPrinted>
  <dcterms:created xsi:type="dcterms:W3CDTF">2022-11-14T15:36:00Z</dcterms:created>
  <dcterms:modified xsi:type="dcterms:W3CDTF">2022-12-05T09:20:00Z</dcterms:modified>
</cp:coreProperties>
</file>